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D3319">
      <w:pPr>
        <w:pStyle w:val="11"/>
        <w:pageBreakBefore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bCs/>
          <w:color w:val="232323"/>
          <w:sz w:val="44"/>
          <w:szCs w:val="44"/>
          <w:highlight w:val="none"/>
          <w:lang w:val="en-US" w:eastAsia="zh-CN" w:bidi="zh-TW"/>
        </w:rPr>
      </w:pPr>
      <w:r>
        <w:rPr>
          <w:rFonts w:hint="default" w:ascii="仿宋" w:hAnsi="仿宋" w:eastAsia="仿宋" w:cs="仿宋"/>
          <w:b/>
          <w:bCs/>
          <w:color w:val="232323"/>
          <w:sz w:val="44"/>
          <w:szCs w:val="44"/>
          <w:highlight w:val="none"/>
          <w:lang w:val="en-US" w:eastAsia="zh-CN" w:bidi="zh-TW"/>
        </w:rPr>
        <w:t>成都绕城高速公路（西段）有限责任公司</w:t>
      </w:r>
    </w:p>
    <w:p w14:paraId="780C8EEE">
      <w:pPr>
        <w:pStyle w:val="11"/>
        <w:pageBreakBefore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color w:val="232323"/>
          <w:sz w:val="44"/>
          <w:szCs w:val="44"/>
          <w:highlight w:val="none"/>
          <w:lang w:val="en-US" w:eastAsia="zh-CN" w:bidi="zh-TW"/>
        </w:rPr>
      </w:pPr>
      <w:r>
        <w:rPr>
          <w:rFonts w:hint="eastAsia" w:ascii="仿宋" w:hAnsi="仿宋" w:eastAsia="仿宋" w:cs="仿宋"/>
          <w:b/>
          <w:bCs/>
          <w:color w:val="232323"/>
          <w:sz w:val="44"/>
          <w:szCs w:val="44"/>
          <w:highlight w:val="none"/>
          <w:lang w:val="en-US" w:eastAsia="zh-CN" w:bidi="zh-TW"/>
        </w:rPr>
        <w:t>融资竞争性磋商公告</w:t>
      </w:r>
    </w:p>
    <w:p w14:paraId="201CBEE0">
      <w:pPr>
        <w:pStyle w:val="11"/>
        <w:keepNext w:val="0"/>
        <w:keepLines w:val="0"/>
        <w:pageBreakBefore w:val="0"/>
        <w:kinsoku/>
        <w:wordWrap/>
        <w:overflowPunct/>
        <w:topLinePunct w:val="0"/>
        <w:autoSpaceDE/>
        <w:autoSpaceDN/>
        <w:bidi w:val="0"/>
        <w:adjustRightInd w:val="0"/>
        <w:snapToGrid w:val="0"/>
        <w:spacing w:line="560" w:lineRule="exact"/>
        <w:ind w:firstLine="0"/>
        <w:jc w:val="both"/>
        <w:textAlignment w:val="auto"/>
        <w:rPr>
          <w:rFonts w:hint="eastAsia" w:ascii="仿宋" w:hAnsi="仿宋" w:eastAsia="仿宋" w:cs="仿宋"/>
          <w:color w:val="232323"/>
          <w:sz w:val="44"/>
          <w:szCs w:val="44"/>
          <w:highlight w:val="none"/>
          <w:lang w:val="en-US" w:eastAsia="zh-CN" w:bidi="zh-TW"/>
        </w:rPr>
      </w:pPr>
    </w:p>
    <w:p w14:paraId="5A9848DC">
      <w:pPr>
        <w:pStyle w:val="11"/>
        <w:keepNext w:val="0"/>
        <w:keepLines w:val="0"/>
        <w:pageBreakBefore w:val="0"/>
        <w:kinsoku/>
        <w:wordWrap/>
        <w:overflowPunct/>
        <w:topLinePunct w:val="0"/>
        <w:autoSpaceDE/>
        <w:autoSpaceDN/>
        <w:bidi w:val="0"/>
        <w:adjustRightInd w:val="0"/>
        <w:snapToGrid w:val="0"/>
        <w:spacing w:line="560" w:lineRule="exact"/>
        <w:ind w:firstLine="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致：各金融机构</w:t>
      </w:r>
    </w:p>
    <w:p w14:paraId="5517FBD9">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232323"/>
          <w:sz w:val="32"/>
          <w:szCs w:val="32"/>
          <w:highlight w:val="none"/>
          <w:lang w:val="en-US" w:eastAsia="zh-CN" w:bidi="zh-TW"/>
        </w:rPr>
      </w:pPr>
      <w:r>
        <w:rPr>
          <w:rFonts w:hint="eastAsia" w:ascii="仿宋" w:hAnsi="仿宋" w:eastAsia="仿宋" w:cs="仿宋"/>
          <w:sz w:val="32"/>
          <w:szCs w:val="32"/>
          <w:highlight w:val="none"/>
          <w:lang w:val="en-US" w:eastAsia="zh-CN"/>
        </w:rPr>
        <w:t>成都绕城高速公路（西段）有限责任公司（以下简称“公司”）拟向金融机构申请融资，现诚邀贵行参与本次竞争性磋商。有关事项如下</w:t>
      </w:r>
      <w:r>
        <w:rPr>
          <w:rFonts w:hint="eastAsia" w:ascii="仿宋" w:hAnsi="仿宋" w:eastAsia="仿宋" w:cs="仿宋"/>
          <w:color w:val="232323"/>
          <w:sz w:val="32"/>
          <w:szCs w:val="32"/>
          <w:highlight w:val="none"/>
          <w:lang w:val="en-US" w:eastAsia="zh-CN" w:bidi="zh-TW"/>
        </w:rPr>
        <w:t>。</w:t>
      </w:r>
    </w:p>
    <w:p w14:paraId="1ACE6FAF">
      <w:pPr>
        <w:pStyle w:val="11"/>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融资需求</w:t>
      </w:r>
    </w:p>
    <w:p w14:paraId="20DB6D29">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本次融资额度为</w:t>
      </w:r>
      <w:r>
        <w:rPr>
          <w:rFonts w:hint="eastAsia" w:ascii="仿宋_GB2312" w:hAnsi="仿宋_GB2312" w:eastAsia="仿宋_GB2312" w:cs="仿宋_GB2312"/>
          <w:sz w:val="32"/>
          <w:szCs w:val="32"/>
          <w:highlight w:val="none"/>
          <w:lang w:val="en-US" w:eastAsia="zh-CN"/>
        </w:rPr>
        <w:t>人民币1</w:t>
      </w:r>
      <w:r>
        <w:rPr>
          <w:rFonts w:hint="eastAsia" w:ascii="仿宋_GB2312" w:hAnsi="仿宋_GB2312" w:eastAsia="仿宋_GB2312" w:cs="仿宋_GB2312"/>
          <w:sz w:val="32"/>
          <w:szCs w:val="32"/>
          <w:highlight w:val="none"/>
        </w:rPr>
        <w:t>亿元，融资期限为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有需要，公司股东四川高速公路建设开发集团有限公司（持股比例65%）和成都交投交通建设管理集团有限公司（持股比例35%）可按持股比例提供担保，自公司完成提交贷款审批资料之日起，贷款审批时间不得超过60个工作日。</w:t>
      </w:r>
    </w:p>
    <w:p w14:paraId="14AC7B13">
      <w:pPr>
        <w:keepNext w:val="0"/>
        <w:keepLines w:val="0"/>
        <w:pageBreakBefore w:val="0"/>
        <w:widowControl/>
        <w:tabs>
          <w:tab w:val="left" w:pos="588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（二）在满足资金监管要求的前提下，本次贷款资金可用于股东借款置换或公司日常生产经营周转</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14:paraId="23D79FAF">
      <w:pPr>
        <w:keepNext w:val="0"/>
        <w:keepLines w:val="0"/>
        <w:pageBreakBefore w:val="0"/>
        <w:widowControl/>
        <w:tabs>
          <w:tab w:val="left" w:pos="588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（三）在贷</w:t>
      </w:r>
      <w:r>
        <w:rPr>
          <w:rFonts w:hint="eastAsia" w:ascii="仿宋_GB2312" w:hAnsi="仿宋_GB2312" w:eastAsia="仿宋_GB2312" w:cs="仿宋_GB2312"/>
          <w:sz w:val="32"/>
          <w:szCs w:val="32"/>
          <w:highlight w:val="none"/>
          <w:lang w:val="en-US" w:eastAsia="zh-CN"/>
        </w:rPr>
        <w:t>款</w:t>
      </w:r>
      <w:r>
        <w:rPr>
          <w:rFonts w:hint="eastAsia" w:ascii="仿宋_GB2312" w:hAnsi="仿宋_GB2312" w:eastAsia="仿宋_GB2312" w:cs="仿宋_GB2312"/>
          <w:sz w:val="32"/>
          <w:szCs w:val="32"/>
          <w:highlight w:val="none"/>
          <w:lang w:eastAsia="zh-CN"/>
        </w:rPr>
        <w:t>授信额度内，公司可根据</w:t>
      </w:r>
      <w:r>
        <w:rPr>
          <w:rFonts w:hint="eastAsia" w:ascii="仿宋_GB2312" w:hAnsi="仿宋_GB2312" w:eastAsia="仿宋_GB2312" w:cs="仿宋_GB2312"/>
          <w:sz w:val="32"/>
          <w:szCs w:val="32"/>
          <w:highlight w:val="none"/>
          <w:lang w:val="en-US" w:eastAsia="zh-CN"/>
        </w:rPr>
        <w:t>实际需求</w:t>
      </w:r>
      <w:r>
        <w:rPr>
          <w:rFonts w:hint="eastAsia" w:ascii="仿宋_GB2312" w:hAnsi="仿宋_GB2312" w:eastAsia="仿宋_GB2312" w:cs="仿宋_GB2312"/>
          <w:sz w:val="32"/>
          <w:szCs w:val="32"/>
          <w:highlight w:val="none"/>
          <w:lang w:eastAsia="zh-CN"/>
        </w:rPr>
        <w:t>随时提款和提前还款且不收取违约金，放款时间不超过</w:t>
      </w:r>
      <w:r>
        <w:rPr>
          <w:rFonts w:hint="eastAsia" w:ascii="仿宋_GB2312" w:hAnsi="仿宋_GB2312" w:eastAsia="仿宋_GB2312" w:cs="仿宋_GB2312"/>
          <w:sz w:val="32"/>
          <w:szCs w:val="32"/>
          <w:highlight w:val="none"/>
          <w:lang w:val="en-US" w:eastAsia="zh-CN"/>
        </w:rPr>
        <w:t>10个工作日。</w:t>
      </w:r>
    </w:p>
    <w:p w14:paraId="76BF2B80">
      <w:pPr>
        <w:keepNext w:val="0"/>
        <w:keepLines w:val="0"/>
        <w:pageBreakBefore w:val="0"/>
        <w:widowControl/>
        <w:tabs>
          <w:tab w:val="left" w:pos="588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（四）本贷款中标人应在审批期限内以书面或其他形式提供审批进展情况。</w:t>
      </w:r>
    </w:p>
    <w:p w14:paraId="17493CC3">
      <w:pPr>
        <w:keepNext w:val="0"/>
        <w:keepLines w:val="0"/>
        <w:pageBreakBefore w:val="0"/>
        <w:widowControl/>
        <w:tabs>
          <w:tab w:val="left" w:pos="5880"/>
        </w:tabs>
        <w:kinsoku/>
        <w:wordWrap/>
        <w:overflowPunct/>
        <w:topLinePunct w:val="0"/>
        <w:autoSpaceDE/>
        <w:autoSpaceDN/>
        <w:bidi w:val="0"/>
        <w:adjustRightInd w:val="0"/>
        <w:snapToGrid w:val="0"/>
        <w:spacing w:line="560" w:lineRule="exact"/>
        <w:ind w:firstLine="651" w:firstLineChars="200"/>
        <w:textAlignment w:val="auto"/>
        <w:rPr>
          <w:rFonts w:hint="eastAsia" w:ascii="仿宋_GB2312" w:hAnsi="仿宋_GB2312" w:eastAsia="仿宋_GB2312" w:cs="仿宋_GB2312"/>
          <w:b/>
          <w:spacing w:val="2"/>
          <w:sz w:val="32"/>
          <w:szCs w:val="32"/>
          <w:highlight w:val="none"/>
          <w:lang w:bidi="ar"/>
        </w:rPr>
      </w:pPr>
      <w:r>
        <w:rPr>
          <w:rFonts w:hint="eastAsia" w:ascii="仿宋_GB2312" w:hAnsi="仿宋_GB2312" w:eastAsia="仿宋_GB2312" w:cs="仿宋_GB2312"/>
          <w:b/>
          <w:spacing w:val="2"/>
          <w:sz w:val="32"/>
          <w:szCs w:val="32"/>
          <w:highlight w:val="none"/>
          <w:lang w:val="en-US" w:eastAsia="zh-CN" w:bidi="ar"/>
        </w:rPr>
        <w:t>二</w:t>
      </w:r>
      <w:r>
        <w:rPr>
          <w:rFonts w:hint="eastAsia" w:ascii="仿宋_GB2312" w:hAnsi="仿宋_GB2312" w:eastAsia="仿宋_GB2312" w:cs="仿宋_GB2312"/>
          <w:b/>
          <w:spacing w:val="2"/>
          <w:sz w:val="32"/>
          <w:szCs w:val="32"/>
          <w:highlight w:val="none"/>
          <w:lang w:bidi="ar"/>
        </w:rPr>
        <w:t>、融资方案要求</w:t>
      </w:r>
    </w:p>
    <w:p w14:paraId="0C521AD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kern w:val="0"/>
          <w:sz w:val="32"/>
          <w:szCs w:val="32"/>
          <w:highlight w:val="none"/>
          <w:lang w:bidi="ar"/>
        </w:rPr>
        <w:t>（一）</w:t>
      </w:r>
      <w:r>
        <w:rPr>
          <w:rFonts w:hint="eastAsia" w:ascii="仿宋_GB2312" w:hAnsi="仿宋_GB2312" w:eastAsia="仿宋_GB2312" w:cs="仿宋_GB2312"/>
          <w:b w:val="0"/>
          <w:bCs w:val="0"/>
          <w:sz w:val="32"/>
          <w:szCs w:val="32"/>
          <w:highlight w:val="none"/>
          <w:lang w:val="en-GB" w:eastAsia="zh-CN"/>
        </w:rPr>
        <w:t>报价银</w:t>
      </w:r>
      <w:r>
        <w:rPr>
          <w:rFonts w:hint="eastAsia" w:ascii="仿宋_GB2312" w:hAnsi="仿宋_GB2312" w:eastAsia="仿宋_GB2312" w:cs="仿宋_GB2312"/>
          <w:b w:val="0"/>
          <w:bCs w:val="0"/>
          <w:sz w:val="32"/>
          <w:szCs w:val="32"/>
          <w:highlight w:val="none"/>
          <w:lang w:val="en-GB"/>
        </w:rPr>
        <w:t>行</w:t>
      </w:r>
      <w:r>
        <w:rPr>
          <w:rFonts w:hint="eastAsia" w:ascii="仿宋_GB2312" w:hAnsi="仿宋_GB2312" w:eastAsia="仿宋_GB2312" w:cs="仿宋_GB2312"/>
          <w:b w:val="0"/>
          <w:bCs w:val="0"/>
          <w:sz w:val="32"/>
          <w:szCs w:val="32"/>
          <w:highlight w:val="none"/>
          <w:lang w:val="en-GB" w:eastAsia="zh-CN"/>
        </w:rPr>
        <w:t>应</w:t>
      </w:r>
      <w:r>
        <w:rPr>
          <w:rFonts w:hint="eastAsia" w:ascii="仿宋_GB2312" w:hAnsi="仿宋_GB2312" w:eastAsia="仿宋_GB2312" w:cs="仿宋_GB2312"/>
          <w:b w:val="0"/>
          <w:bCs w:val="0"/>
          <w:kern w:val="0"/>
          <w:sz w:val="32"/>
          <w:szCs w:val="32"/>
          <w:highlight w:val="none"/>
          <w:lang w:bidi="ar"/>
        </w:rPr>
        <w:t>按照竞争性</w:t>
      </w:r>
      <w:r>
        <w:rPr>
          <w:rFonts w:hint="eastAsia" w:ascii="仿宋_GB2312" w:hAnsi="仿宋_GB2312" w:eastAsia="仿宋_GB2312" w:cs="仿宋_GB2312"/>
          <w:b w:val="0"/>
          <w:bCs w:val="0"/>
          <w:strike w:val="0"/>
          <w:dstrike w:val="0"/>
          <w:kern w:val="0"/>
          <w:sz w:val="32"/>
          <w:szCs w:val="32"/>
          <w:highlight w:val="none"/>
          <w:lang w:val="en-US" w:eastAsia="zh-CN" w:bidi="ar"/>
        </w:rPr>
        <w:t>磋商</w:t>
      </w:r>
      <w:r>
        <w:rPr>
          <w:rFonts w:hint="eastAsia" w:ascii="仿宋_GB2312" w:hAnsi="仿宋_GB2312" w:eastAsia="仿宋_GB2312" w:cs="仿宋_GB2312"/>
          <w:b w:val="0"/>
          <w:bCs w:val="0"/>
          <w:kern w:val="0"/>
          <w:sz w:val="32"/>
          <w:szCs w:val="32"/>
          <w:highlight w:val="none"/>
          <w:lang w:bidi="ar"/>
        </w:rPr>
        <w:t>的方式，填写《</w:t>
      </w:r>
      <w:r>
        <w:rPr>
          <w:rFonts w:hint="eastAsia" w:ascii="仿宋_GB2312" w:hAnsi="仿宋_GB2312" w:eastAsia="仿宋_GB2312" w:cs="仿宋_GB2312"/>
          <w:b w:val="0"/>
          <w:bCs w:val="0"/>
          <w:kern w:val="0"/>
          <w:sz w:val="32"/>
          <w:szCs w:val="32"/>
          <w:highlight w:val="none"/>
          <w:lang w:eastAsia="zh-CN" w:bidi="ar"/>
        </w:rPr>
        <w:t>成都绕城高速公路（西段）有限责任公司</w:t>
      </w:r>
      <w:r>
        <w:rPr>
          <w:rFonts w:hint="eastAsia" w:ascii="仿宋_GB2312" w:hAnsi="仿宋_GB2312" w:eastAsia="仿宋_GB2312" w:cs="仿宋_GB2312"/>
          <w:b w:val="0"/>
          <w:bCs w:val="0"/>
          <w:kern w:val="0"/>
          <w:sz w:val="32"/>
          <w:szCs w:val="32"/>
          <w:highlight w:val="none"/>
          <w:lang w:bidi="ar"/>
        </w:rPr>
        <w:t>贷款报价单》（详见附件），遵循国家相关法律、法规提供融资</w:t>
      </w:r>
      <w:r>
        <w:rPr>
          <w:rFonts w:hint="eastAsia" w:ascii="仿宋_GB2312" w:hAnsi="仿宋_GB2312" w:eastAsia="仿宋_GB2312" w:cs="仿宋_GB2312"/>
          <w:b w:val="0"/>
          <w:bCs w:val="0"/>
          <w:kern w:val="0"/>
          <w:sz w:val="32"/>
          <w:szCs w:val="32"/>
          <w:highlight w:val="none"/>
          <w:lang w:val="en-US" w:eastAsia="zh-CN" w:bidi="ar"/>
        </w:rPr>
        <w:t>利率</w:t>
      </w:r>
      <w:r>
        <w:rPr>
          <w:rFonts w:hint="eastAsia" w:ascii="仿宋_GB2312" w:hAnsi="仿宋_GB2312" w:eastAsia="仿宋_GB2312" w:cs="仿宋_GB2312"/>
          <w:b w:val="0"/>
          <w:bCs w:val="0"/>
          <w:kern w:val="0"/>
          <w:sz w:val="32"/>
          <w:szCs w:val="32"/>
          <w:highlight w:val="none"/>
          <w:lang w:bidi="ar"/>
        </w:rPr>
        <w:t>报价（</w:t>
      </w:r>
      <w:r>
        <w:rPr>
          <w:rFonts w:hint="eastAsia" w:ascii="仿宋_GB2312" w:hAnsi="仿宋_GB2312" w:eastAsia="仿宋_GB2312" w:cs="仿宋_GB2312"/>
          <w:b w:val="0"/>
          <w:bCs w:val="0"/>
          <w:kern w:val="0"/>
          <w:sz w:val="32"/>
          <w:szCs w:val="32"/>
          <w:highlight w:val="none"/>
          <w:lang w:val="en-US" w:eastAsia="zh-CN" w:bidi="ar"/>
        </w:rPr>
        <w:t>须</w:t>
      </w:r>
      <w:r>
        <w:rPr>
          <w:rFonts w:hint="eastAsia" w:ascii="仿宋_GB2312" w:hAnsi="仿宋_GB2312" w:eastAsia="仿宋_GB2312" w:cs="仿宋_GB2312"/>
          <w:b w:val="0"/>
          <w:bCs w:val="0"/>
          <w:kern w:val="0"/>
          <w:sz w:val="32"/>
          <w:szCs w:val="32"/>
          <w:highlight w:val="none"/>
          <w:lang w:bidi="ar"/>
        </w:rPr>
        <w:t>包含所有税费）</w:t>
      </w:r>
      <w:r>
        <w:rPr>
          <w:rFonts w:hint="eastAsia" w:ascii="仿宋_GB2312" w:hAnsi="仿宋_GB2312" w:eastAsia="仿宋_GB2312" w:cs="仿宋_GB2312"/>
          <w:b w:val="0"/>
          <w:bCs w:val="0"/>
          <w:sz w:val="32"/>
          <w:szCs w:val="32"/>
          <w:highlight w:val="none"/>
          <w:lang w:val="en-US" w:eastAsia="zh-CN"/>
        </w:rPr>
        <w:t>，报价文件须采用纸质形式递交。</w:t>
      </w:r>
    </w:p>
    <w:p w14:paraId="438F23D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kern w:val="0"/>
          <w:sz w:val="32"/>
          <w:szCs w:val="32"/>
          <w:highlight w:val="none"/>
          <w:lang w:bidi="ar"/>
        </w:rPr>
        <w:t>（二）</w:t>
      </w:r>
      <w:r>
        <w:rPr>
          <w:rFonts w:hint="eastAsia" w:ascii="仿宋_GB2312" w:hAnsi="仿宋_GB2312" w:eastAsia="仿宋_GB2312" w:cs="仿宋_GB2312"/>
          <w:b w:val="0"/>
          <w:bCs w:val="0"/>
          <w:kern w:val="0"/>
          <w:sz w:val="32"/>
          <w:szCs w:val="32"/>
          <w:highlight w:val="none"/>
          <w:lang w:eastAsia="zh-CN" w:bidi="ar"/>
        </w:rPr>
        <w:t>本次贷</w:t>
      </w:r>
      <w:r>
        <w:rPr>
          <w:rFonts w:hint="eastAsia" w:ascii="仿宋_GB2312" w:hAnsi="仿宋_GB2312" w:eastAsia="仿宋_GB2312" w:cs="仿宋_GB2312"/>
          <w:b w:val="0"/>
          <w:bCs w:val="0"/>
          <w:kern w:val="0"/>
          <w:sz w:val="32"/>
          <w:szCs w:val="32"/>
          <w:highlight w:val="none"/>
          <w:lang w:val="en-US" w:eastAsia="zh-CN" w:bidi="ar"/>
        </w:rPr>
        <w:t>款</w:t>
      </w:r>
      <w:r>
        <w:rPr>
          <w:rFonts w:hint="eastAsia" w:ascii="仿宋_GB2312" w:hAnsi="仿宋_GB2312" w:eastAsia="仿宋_GB2312" w:cs="仿宋_GB2312"/>
          <w:b w:val="0"/>
          <w:bCs w:val="0"/>
          <w:kern w:val="0"/>
          <w:sz w:val="32"/>
          <w:szCs w:val="32"/>
          <w:highlight w:val="none"/>
          <w:lang w:eastAsia="zh-CN" w:bidi="ar"/>
        </w:rPr>
        <w:t>比选</w:t>
      </w:r>
      <w:r>
        <w:rPr>
          <w:rFonts w:hint="eastAsia" w:ascii="仿宋_GB2312" w:hAnsi="仿宋_GB2312" w:eastAsia="仿宋_GB2312" w:cs="仿宋_GB2312"/>
          <w:b w:val="0"/>
          <w:bCs w:val="0"/>
          <w:kern w:val="0"/>
          <w:sz w:val="32"/>
          <w:szCs w:val="32"/>
          <w:highlight w:val="none"/>
          <w:lang w:bidi="ar"/>
        </w:rPr>
        <w:t>不接受除贷款利率报价以外其他任何形式的直接或间接费用。</w:t>
      </w:r>
    </w:p>
    <w:p w14:paraId="40F4283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kern w:val="0"/>
          <w:sz w:val="32"/>
          <w:szCs w:val="32"/>
          <w:highlight w:val="none"/>
          <w:lang w:bidi="ar"/>
        </w:rPr>
        <w:t>（</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w:t>
      </w:r>
      <w:r>
        <w:rPr>
          <w:rFonts w:hint="eastAsia" w:ascii="仿宋_GB2312" w:hAnsi="仿宋_GB2312" w:eastAsia="仿宋_GB2312" w:cs="仿宋_GB2312"/>
          <w:b w:val="0"/>
          <w:bCs w:val="0"/>
          <w:sz w:val="32"/>
          <w:szCs w:val="32"/>
          <w:highlight w:val="none"/>
          <w:lang w:val="en-GB" w:eastAsia="zh-CN"/>
        </w:rPr>
        <w:t>报价银</w:t>
      </w:r>
      <w:r>
        <w:rPr>
          <w:rFonts w:hint="eastAsia" w:ascii="仿宋_GB2312" w:hAnsi="仿宋_GB2312" w:eastAsia="仿宋_GB2312" w:cs="仿宋_GB2312"/>
          <w:b w:val="0"/>
          <w:bCs w:val="0"/>
          <w:sz w:val="32"/>
          <w:szCs w:val="32"/>
          <w:highlight w:val="none"/>
          <w:lang w:val="en-GB"/>
        </w:rPr>
        <w:t>行</w:t>
      </w:r>
      <w:r>
        <w:rPr>
          <w:rFonts w:hint="eastAsia" w:ascii="仿宋_GB2312" w:hAnsi="仿宋_GB2312" w:eastAsia="仿宋_GB2312" w:cs="仿宋_GB2312"/>
          <w:b w:val="0"/>
          <w:bCs w:val="0"/>
          <w:sz w:val="32"/>
          <w:szCs w:val="32"/>
          <w:highlight w:val="none"/>
        </w:rPr>
        <w:t>应作为独立的竞选银行单独递交融资方案，不接受联合体参选；</w:t>
      </w:r>
      <w:r>
        <w:rPr>
          <w:rFonts w:hint="eastAsia" w:ascii="仿宋_GB2312" w:hAnsi="仿宋_GB2312" w:eastAsia="仿宋_GB2312" w:cs="仿宋_GB2312"/>
          <w:b w:val="0"/>
          <w:bCs w:val="0"/>
          <w:sz w:val="32"/>
          <w:szCs w:val="32"/>
          <w:highlight w:val="none"/>
          <w:lang w:eastAsia="zh-CN"/>
        </w:rPr>
        <w:t>根据评标办法确定</w:t>
      </w:r>
      <w:r>
        <w:rPr>
          <w:rFonts w:hint="eastAsia" w:ascii="仿宋_GB2312" w:hAnsi="仿宋_GB2312" w:eastAsia="仿宋_GB2312" w:cs="仿宋_GB2312"/>
          <w:b w:val="0"/>
          <w:bCs w:val="0"/>
          <w:sz w:val="32"/>
          <w:szCs w:val="32"/>
          <w:highlight w:val="none"/>
        </w:rPr>
        <w:t>中选银行。</w:t>
      </w:r>
    </w:p>
    <w:p w14:paraId="1892567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w:t>
      </w:r>
      <w:r>
        <w:rPr>
          <w:rFonts w:hint="eastAsia" w:ascii="仿宋_GB2312" w:hAnsi="仿宋_GB2312" w:eastAsia="仿宋_GB2312" w:cs="仿宋_GB2312"/>
          <w:kern w:val="0"/>
          <w:sz w:val="32"/>
          <w:szCs w:val="32"/>
          <w:highlight w:val="none"/>
          <w:lang w:eastAsia="zh-CN" w:bidi="ar"/>
        </w:rPr>
        <w:t>四</w:t>
      </w:r>
      <w:r>
        <w:rPr>
          <w:rFonts w:hint="eastAsia" w:ascii="仿宋_GB2312" w:hAnsi="仿宋_GB2312" w:eastAsia="仿宋_GB2312" w:cs="仿宋_GB2312"/>
          <w:kern w:val="0"/>
          <w:sz w:val="32"/>
          <w:szCs w:val="32"/>
          <w:highlight w:val="none"/>
          <w:lang w:bidi="ar"/>
        </w:rPr>
        <w:t>）其他相关要求：</w:t>
      </w:r>
    </w:p>
    <w:p w14:paraId="42D67F6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1</w:t>
      </w:r>
      <w:r>
        <w:rPr>
          <w:rFonts w:hint="eastAsia"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bidi="ar"/>
        </w:rPr>
        <w:t>文件密封。</w:t>
      </w:r>
      <w:r>
        <w:rPr>
          <w:rFonts w:hint="eastAsia" w:ascii="仿宋_GB2312" w:hAnsi="仿宋_GB2312" w:eastAsia="仿宋_GB2312" w:cs="仿宋_GB2312"/>
          <w:color w:val="000000"/>
          <w:sz w:val="32"/>
          <w:szCs w:val="32"/>
          <w:highlight w:val="none"/>
          <w:lang w:eastAsia="zh-CN"/>
        </w:rPr>
        <w:t>报价</w:t>
      </w:r>
      <w:r>
        <w:rPr>
          <w:rFonts w:hint="eastAsia" w:ascii="仿宋_GB2312" w:hAnsi="仿宋_GB2312" w:eastAsia="仿宋_GB2312" w:cs="仿宋_GB2312"/>
          <w:sz w:val="32"/>
          <w:szCs w:val="32"/>
          <w:highlight w:val="none"/>
        </w:rPr>
        <w:t>文件的内容统一密封在一个总外层封套中。外层封套应加密封章或公章（或贴密封条）。</w:t>
      </w:r>
    </w:p>
    <w:p w14:paraId="0A4530B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报价银</w:t>
      </w:r>
      <w:r>
        <w:rPr>
          <w:rFonts w:hint="eastAsia" w:ascii="仿宋_GB2312" w:hAnsi="仿宋_GB2312" w:eastAsia="仿宋_GB2312" w:cs="仿宋_GB2312"/>
          <w:sz w:val="32"/>
          <w:szCs w:val="32"/>
          <w:highlight w:val="none"/>
        </w:rPr>
        <w:t>行须为在中华人民共和国境内依法设立的银行，持有中国银行业监督管理委员会核发的金融业务许可证及其它营业必须的证照。</w:t>
      </w:r>
    </w:p>
    <w:p w14:paraId="7CF814D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报价银</w:t>
      </w:r>
      <w:r>
        <w:rPr>
          <w:rFonts w:hint="eastAsia" w:ascii="仿宋_GB2312" w:hAnsi="仿宋_GB2312" w:eastAsia="仿宋_GB2312" w:cs="仿宋_GB2312"/>
          <w:sz w:val="32"/>
          <w:szCs w:val="32"/>
          <w:highlight w:val="none"/>
        </w:rPr>
        <w:t>行内部管理机制健全，具有较强的风险控制能力，依法开展经营活动，近3年内在经营活动中无重大违法违规记录及重大违约事件。</w:t>
      </w:r>
    </w:p>
    <w:p w14:paraId="319F2CC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三、竞争性磋商文件获取</w:t>
      </w:r>
    </w:p>
    <w:p w14:paraId="003A638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获取</w:t>
      </w:r>
      <w:r>
        <w:rPr>
          <w:rFonts w:hint="eastAsia" w:ascii="仿宋_GB2312" w:hAnsi="仿宋_GB2312" w:eastAsia="仿宋_GB2312" w:cs="仿宋_GB2312"/>
          <w:sz w:val="32"/>
          <w:szCs w:val="32"/>
          <w:highlight w:val="none"/>
          <w:lang w:val="en-US" w:eastAsia="zh-CN"/>
        </w:rPr>
        <w:t>竞争性磋商</w:t>
      </w:r>
      <w:r>
        <w:rPr>
          <w:rFonts w:hint="default" w:ascii="仿宋_GB2312" w:hAnsi="仿宋_GB2312" w:eastAsia="仿宋_GB2312" w:cs="仿宋_GB2312"/>
          <w:sz w:val="32"/>
          <w:szCs w:val="32"/>
          <w:highlight w:val="none"/>
          <w:lang w:val="en-US" w:eastAsia="zh-CN"/>
        </w:rPr>
        <w:t>文件需在四川川西高速公路有限责任公司官网（https://cxgs.scgs.com.cn/）上自行下载比选文件。获取文件截止时间2025年</w:t>
      </w:r>
      <w:r>
        <w:rPr>
          <w:rFonts w:hint="eastAsia" w:ascii="仿宋_GB2312" w:hAnsi="仿宋_GB2312" w:eastAsia="仿宋_GB2312" w:cs="仿宋_GB2312"/>
          <w:sz w:val="32"/>
          <w:szCs w:val="32"/>
          <w:highlight w:val="none"/>
          <w:lang w:val="en-US" w:eastAsia="zh-CN"/>
        </w:rPr>
        <w:t>12</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10</w:t>
      </w:r>
      <w:r>
        <w:rPr>
          <w:rFonts w:hint="default" w:ascii="仿宋_GB2312" w:hAnsi="仿宋_GB2312" w:eastAsia="仿宋_GB2312" w:cs="仿宋_GB2312"/>
          <w:sz w:val="32"/>
          <w:szCs w:val="32"/>
          <w:highlight w:val="none"/>
          <w:lang w:val="en-US" w:eastAsia="zh-CN"/>
        </w:rPr>
        <w:t>日</w:t>
      </w:r>
      <w:r>
        <w:rPr>
          <w:rFonts w:hint="default" w:ascii="仿宋_GB2312" w:hAnsi="仿宋_GB2312" w:eastAsia="仿宋_GB2312" w:cs="仿宋_GB2312"/>
          <w:sz w:val="32"/>
          <w:szCs w:val="32"/>
          <w:highlight w:val="none"/>
          <w:lang w:val="en-US" w:eastAsia="zh-CN"/>
        </w:rPr>
        <w:t>10:00</w:t>
      </w:r>
      <w:r>
        <w:rPr>
          <w:rFonts w:hint="default"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lang w:val="en-US" w:eastAsia="zh-CN"/>
        </w:rPr>
        <w:t>12</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17</w:t>
      </w:r>
      <w:r>
        <w:rPr>
          <w:rFonts w:hint="default" w:ascii="仿宋_GB2312" w:hAnsi="仿宋_GB2312" w:eastAsia="仿宋_GB2312" w:cs="仿宋_GB2312"/>
          <w:sz w:val="32"/>
          <w:szCs w:val="32"/>
          <w:highlight w:val="none"/>
          <w:lang w:val="en-US" w:eastAsia="zh-CN"/>
        </w:rPr>
        <w:t>日</w:t>
      </w:r>
      <w:r>
        <w:rPr>
          <w:rFonts w:hint="default"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lang w:val="en-US" w:eastAsia="zh-CN"/>
        </w:rPr>
        <w:t>（北京时间）</w:t>
      </w:r>
      <w:r>
        <w:rPr>
          <w:rFonts w:hint="default" w:ascii="仿宋_GB2312" w:hAnsi="仿宋_GB2312" w:eastAsia="仿宋_GB2312" w:cs="仿宋_GB2312"/>
          <w:sz w:val="32"/>
          <w:szCs w:val="32"/>
          <w:highlight w:val="none"/>
          <w:lang w:val="en-US" w:eastAsia="zh-CN"/>
        </w:rPr>
        <w:t>。采购人不提供其他任何报名和</w:t>
      </w:r>
      <w:r>
        <w:rPr>
          <w:rFonts w:hint="eastAsia" w:ascii="仿宋_GB2312" w:hAnsi="仿宋_GB2312" w:eastAsia="仿宋_GB2312" w:cs="仿宋_GB2312"/>
          <w:sz w:val="32"/>
          <w:szCs w:val="32"/>
          <w:highlight w:val="none"/>
          <w:lang w:val="en-US" w:eastAsia="zh-CN"/>
        </w:rPr>
        <w:t>竞争性磋商</w:t>
      </w:r>
      <w:r>
        <w:rPr>
          <w:rFonts w:hint="default" w:ascii="仿宋_GB2312" w:hAnsi="仿宋_GB2312" w:eastAsia="仿宋_GB2312" w:cs="仿宋_GB2312"/>
          <w:sz w:val="32"/>
          <w:szCs w:val="32"/>
          <w:highlight w:val="none"/>
          <w:lang w:val="en-US" w:eastAsia="zh-CN"/>
        </w:rPr>
        <w:t>文件获取的方式。</w:t>
      </w:r>
    </w:p>
    <w:p w14:paraId="04788B2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申请人应在比选期间适时关注上述网站，采购人不再另行通知。如有问题或疑问，应及时与采购人联系，逾期未联系的，采购人视为申请人没有任何问题和疑问，或是已收到或默认已收到，否则造成的一切后果由申请人负责。</w:t>
      </w:r>
    </w:p>
    <w:p w14:paraId="37372E5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四</w:t>
      </w:r>
      <w:r>
        <w:rPr>
          <w:rFonts w:hint="eastAsia" w:ascii="仿宋_GB2312" w:hAnsi="仿宋_GB2312" w:eastAsia="仿宋_GB2312" w:cs="仿宋_GB2312"/>
          <w:b/>
          <w:sz w:val="32"/>
          <w:szCs w:val="32"/>
          <w:highlight w:val="none"/>
        </w:rPr>
        <w:t>、开标评定时间和地点</w:t>
      </w:r>
    </w:p>
    <w:p w14:paraId="0B37EA0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color w:val="000000"/>
          <w:sz w:val="32"/>
          <w:szCs w:val="32"/>
          <w:highlight w:val="none"/>
          <w:lang w:eastAsia="zh-CN"/>
        </w:rPr>
        <w:t>报价</w:t>
      </w:r>
      <w:r>
        <w:rPr>
          <w:rFonts w:hint="eastAsia" w:ascii="仿宋_GB2312" w:hAnsi="仿宋_GB2312" w:eastAsia="仿宋_GB2312" w:cs="仿宋_GB2312"/>
          <w:color w:val="000000"/>
          <w:sz w:val="32"/>
          <w:szCs w:val="32"/>
          <w:highlight w:val="none"/>
        </w:rPr>
        <w:t>文件提交截止时间及开标时间：202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17</w:t>
      </w:r>
      <w:r>
        <w:rPr>
          <w:rFonts w:hint="eastAsia" w:ascii="仿宋_GB2312" w:hAnsi="仿宋_GB2312" w:eastAsia="仿宋_GB2312" w:cs="仿宋_GB2312"/>
          <w:color w:val="000000"/>
          <w:sz w:val="32"/>
          <w:szCs w:val="32"/>
          <w:highlight w:val="none"/>
        </w:rPr>
        <w:t>日上午1</w:t>
      </w:r>
      <w:r>
        <w:rPr>
          <w:rFonts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rPr>
        <w:t>时（北京时间）。</w:t>
      </w:r>
    </w:p>
    <w:p w14:paraId="604765C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color w:val="000000"/>
          <w:sz w:val="32"/>
          <w:szCs w:val="32"/>
          <w:highlight w:val="none"/>
        </w:rPr>
        <w:t>开标地点：</w:t>
      </w:r>
      <w:r>
        <w:rPr>
          <w:rFonts w:hint="eastAsia" w:ascii="仿宋_GB2312" w:hAnsi="仿宋_GB2312" w:eastAsia="仿宋_GB2312" w:cs="仿宋_GB2312"/>
          <w:color w:val="000000"/>
          <w:kern w:val="0"/>
          <w:sz w:val="32"/>
          <w:szCs w:val="32"/>
          <w:highlight w:val="none"/>
        </w:rPr>
        <w:t>成都市</w:t>
      </w:r>
      <w:r>
        <w:rPr>
          <w:rFonts w:hint="eastAsia" w:ascii="仿宋_GB2312" w:hAnsi="仿宋_GB2312" w:eastAsia="仿宋_GB2312" w:cs="仿宋_GB2312"/>
          <w:color w:val="000000"/>
          <w:kern w:val="0"/>
          <w:sz w:val="32"/>
          <w:szCs w:val="32"/>
          <w:highlight w:val="none"/>
          <w:lang w:val="en-US" w:eastAsia="zh-CN"/>
        </w:rPr>
        <w:t>武侯</w:t>
      </w:r>
      <w:r>
        <w:rPr>
          <w:rFonts w:hint="eastAsia" w:ascii="仿宋_GB2312" w:hAnsi="仿宋_GB2312" w:eastAsia="仿宋_GB2312" w:cs="仿宋_GB2312"/>
          <w:sz w:val="32"/>
          <w:szCs w:val="32"/>
          <w:highlight w:val="none"/>
          <w:lang w:val="en-US" w:eastAsia="zh-CN"/>
        </w:rPr>
        <w:t>区剑南大道中段3号</w:t>
      </w:r>
      <w:r>
        <w:rPr>
          <w:rFonts w:hint="eastAsia" w:ascii="仿宋_GB2312" w:hAnsi="仿宋_GB2312" w:eastAsia="仿宋_GB2312" w:cs="仿宋_GB2312"/>
          <w:kern w:val="0"/>
          <w:sz w:val="32"/>
          <w:szCs w:val="32"/>
          <w:highlight w:val="none"/>
        </w:rPr>
        <w:t>成都绕城高速公路（西段）有限责任公司</w:t>
      </w:r>
      <w:r>
        <w:rPr>
          <w:rFonts w:hint="eastAsia" w:ascii="仿宋_GB2312" w:hAnsi="仿宋_GB2312" w:eastAsia="仿宋_GB2312" w:cs="仿宋_GB2312"/>
          <w:sz w:val="32"/>
          <w:szCs w:val="32"/>
          <w:highlight w:val="none"/>
        </w:rPr>
        <w:t>会议室。</w:t>
      </w:r>
    </w:p>
    <w:p w14:paraId="26B96A9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color w:val="000000"/>
          <w:sz w:val="32"/>
          <w:szCs w:val="32"/>
          <w:highlight w:val="none"/>
          <w:lang w:eastAsia="zh-CN"/>
        </w:rPr>
        <w:t>报价</w:t>
      </w:r>
      <w:r>
        <w:rPr>
          <w:rFonts w:hint="eastAsia" w:ascii="仿宋_GB2312" w:hAnsi="仿宋_GB2312" w:eastAsia="仿宋_GB2312" w:cs="仿宋_GB2312"/>
          <w:color w:val="000000"/>
          <w:sz w:val="32"/>
          <w:szCs w:val="32"/>
          <w:highlight w:val="none"/>
        </w:rPr>
        <w:t>文件请于开标当日（文件提交截止时间之前）递交至开标地点，逾期送达或不符合规定的参选文件恕不接收。届时请参加比选的单位法定代表人或法人委托人（法人委托人需携带法人授权委托书）携带本人身份证原件及复印件、报价文件准时参加开标会。</w:t>
      </w:r>
    </w:p>
    <w:p w14:paraId="1AA93ED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val="en-US" w:eastAsia="zh-CN"/>
        </w:rPr>
        <w:t>五</w:t>
      </w:r>
      <w:r>
        <w:rPr>
          <w:rFonts w:hint="eastAsia" w:ascii="仿宋_GB2312" w:hAnsi="仿宋_GB2312" w:eastAsia="仿宋_GB2312" w:cs="仿宋_GB2312"/>
          <w:b/>
          <w:sz w:val="32"/>
          <w:szCs w:val="32"/>
          <w:highlight w:val="none"/>
        </w:rPr>
        <w:t>、报价文件</w:t>
      </w:r>
      <w:r>
        <w:rPr>
          <w:rFonts w:hint="eastAsia" w:ascii="仿宋_GB2312" w:hAnsi="仿宋_GB2312" w:eastAsia="仿宋_GB2312" w:cs="仿宋_GB2312"/>
          <w:b/>
          <w:sz w:val="32"/>
          <w:szCs w:val="32"/>
          <w:highlight w:val="none"/>
          <w:lang w:eastAsia="zh-CN"/>
        </w:rPr>
        <w:t>要求</w:t>
      </w:r>
    </w:p>
    <w:p w14:paraId="36B5BF3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（一）成都绕城高速公路（西段）有限责任公司</w:t>
      </w:r>
      <w:r>
        <w:rPr>
          <w:rFonts w:hint="eastAsia" w:ascii="仿宋_GB2312" w:hAnsi="仿宋_GB2312" w:eastAsia="仿宋_GB2312" w:cs="仿宋_GB2312"/>
          <w:sz w:val="32"/>
          <w:szCs w:val="32"/>
          <w:highlight w:val="none"/>
        </w:rPr>
        <w:t>贷款报价单。</w:t>
      </w:r>
    </w:p>
    <w:p w14:paraId="28F4D3E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本单位基本情况及相关资格资质证明材料（有效的金融业务许可证复印件加盖公章、有效的营业执照复印件加盖公章）。</w:t>
      </w:r>
    </w:p>
    <w:p w14:paraId="6F6A80F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）报价单签署</w:t>
      </w:r>
      <w:r>
        <w:rPr>
          <w:rFonts w:hint="eastAsia" w:ascii="仿宋_GB2312" w:hAnsi="仿宋_GB2312" w:eastAsia="仿宋_GB2312" w:cs="仿宋_GB2312"/>
          <w:sz w:val="32"/>
          <w:szCs w:val="32"/>
          <w:highlight w:val="none"/>
          <w:lang w:val="en-US" w:eastAsia="zh-CN"/>
        </w:rPr>
        <w:t>负责人身份证明文件：投标截止日所在月上个月或上上个月起之前在其投标单位连续6个月参加社保证明或其他有效单位证明。</w:t>
      </w:r>
    </w:p>
    <w:p w14:paraId="4F63191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、评</w:t>
      </w:r>
      <w:r>
        <w:rPr>
          <w:rFonts w:hint="eastAsia" w:ascii="仿宋_GB2312" w:hAnsi="仿宋_GB2312" w:eastAsia="仿宋_GB2312" w:cs="仿宋_GB2312"/>
          <w:b/>
          <w:sz w:val="32"/>
          <w:szCs w:val="32"/>
          <w:highlight w:val="none"/>
          <w:lang w:val="en-US" w:eastAsia="zh-CN"/>
        </w:rPr>
        <w:t>审</w:t>
      </w:r>
      <w:r>
        <w:rPr>
          <w:rFonts w:hint="eastAsia" w:ascii="仿宋_GB2312" w:hAnsi="仿宋_GB2312" w:eastAsia="仿宋_GB2312" w:cs="仿宋_GB2312"/>
          <w:b/>
          <w:color w:val="auto"/>
          <w:sz w:val="32"/>
          <w:szCs w:val="32"/>
          <w:highlight w:val="none"/>
        </w:rPr>
        <w:t>办法</w:t>
      </w:r>
    </w:p>
    <w:p w14:paraId="535CFC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公司根据收到的</w:t>
      </w:r>
      <w:r>
        <w:rPr>
          <w:rFonts w:hint="eastAsia" w:ascii="仿宋_GB2312" w:hAnsi="仿宋_GB2312" w:eastAsia="仿宋_GB2312" w:cs="仿宋_GB2312"/>
          <w:b w:val="0"/>
          <w:bCs w:val="0"/>
          <w:color w:val="auto"/>
          <w:kern w:val="0"/>
          <w:sz w:val="32"/>
          <w:szCs w:val="32"/>
          <w:highlight w:val="none"/>
          <w:lang w:bidi="ar"/>
        </w:rPr>
        <w:t>《</w:t>
      </w:r>
      <w:r>
        <w:rPr>
          <w:rFonts w:hint="eastAsia" w:ascii="仿宋_GB2312" w:hAnsi="仿宋_GB2312" w:eastAsia="仿宋_GB2312" w:cs="仿宋_GB2312"/>
          <w:b w:val="0"/>
          <w:bCs w:val="0"/>
          <w:color w:val="auto"/>
          <w:kern w:val="0"/>
          <w:sz w:val="32"/>
          <w:szCs w:val="32"/>
          <w:highlight w:val="none"/>
          <w:lang w:eastAsia="zh-CN" w:bidi="ar"/>
        </w:rPr>
        <w:t>成都绕城高速公路（西段）有限责任公司</w:t>
      </w:r>
      <w:r>
        <w:rPr>
          <w:rFonts w:hint="eastAsia" w:ascii="仿宋_GB2312" w:hAnsi="仿宋_GB2312" w:eastAsia="仿宋_GB2312" w:cs="仿宋_GB2312"/>
          <w:b w:val="0"/>
          <w:bCs w:val="0"/>
          <w:color w:val="auto"/>
          <w:kern w:val="0"/>
          <w:sz w:val="32"/>
          <w:szCs w:val="32"/>
          <w:highlight w:val="none"/>
          <w:lang w:bidi="ar"/>
        </w:rPr>
        <w:t>贷款报价单》</w:t>
      </w:r>
      <w:r>
        <w:rPr>
          <w:rFonts w:hint="eastAsia" w:ascii="仿宋_GB2312" w:hAnsi="仿宋_GB2312" w:eastAsia="仿宋_GB2312" w:cs="仿宋_GB2312"/>
          <w:color w:val="auto"/>
          <w:sz w:val="32"/>
          <w:szCs w:val="32"/>
          <w:highlight w:val="none"/>
          <w:lang w:eastAsia="zh-CN"/>
        </w:rPr>
        <w:t>进行</w:t>
      </w:r>
      <w:r>
        <w:rPr>
          <w:rFonts w:hint="eastAsia" w:ascii="仿宋_GB2312" w:hAnsi="仿宋_GB2312" w:eastAsia="仿宋_GB2312" w:cs="仿宋_GB2312"/>
          <w:color w:val="auto"/>
          <w:sz w:val="32"/>
          <w:szCs w:val="32"/>
          <w:highlight w:val="none"/>
          <w:lang w:val="en-US" w:eastAsia="zh-CN"/>
        </w:rPr>
        <w:t>评分</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仿宋"/>
          <w:color w:val="auto"/>
          <w:sz w:val="32"/>
          <w:szCs w:val="32"/>
          <w:highlight w:val="none"/>
        </w:rPr>
        <w:t>择优选择意向</w:t>
      </w:r>
      <w:r>
        <w:rPr>
          <w:rFonts w:hint="eastAsia" w:ascii="仿宋" w:hAnsi="仿宋" w:eastAsia="仿宋" w:cs="仿宋"/>
          <w:color w:val="auto"/>
          <w:sz w:val="32"/>
          <w:szCs w:val="32"/>
          <w:highlight w:val="none"/>
          <w:lang w:val="en-US" w:eastAsia="zh-CN"/>
        </w:rPr>
        <w:t>银</w:t>
      </w:r>
      <w:r>
        <w:rPr>
          <w:rFonts w:hint="eastAsia" w:ascii="仿宋" w:hAnsi="仿宋" w:eastAsia="仿宋" w:cs="仿宋"/>
          <w:color w:val="auto"/>
          <w:sz w:val="32"/>
          <w:szCs w:val="32"/>
          <w:highlight w:val="none"/>
        </w:rPr>
        <w:t>行</w:t>
      </w:r>
      <w:r>
        <w:rPr>
          <w:rFonts w:hint="eastAsia" w:ascii="仿宋" w:hAnsi="仿宋" w:eastAsia="仿宋" w:cs="仿宋"/>
          <w:color w:val="auto"/>
          <w:sz w:val="32"/>
          <w:szCs w:val="32"/>
          <w:highlight w:val="none"/>
          <w:lang w:eastAsia="zh-CN"/>
        </w:rPr>
        <w:t>。</w:t>
      </w:r>
    </w:p>
    <w:tbl>
      <w:tblPr>
        <w:tblStyle w:val="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7"/>
        <w:gridCol w:w="2910"/>
        <w:gridCol w:w="2895"/>
      </w:tblGrid>
      <w:tr w14:paraId="42AF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447" w:type="dxa"/>
            <w:vAlign w:val="center"/>
          </w:tcPr>
          <w:p w14:paraId="67C182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贷款利率（5YLPR+/-BP）</w:t>
            </w:r>
          </w:p>
          <w:p w14:paraId="53DBD5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val="en-US" w:eastAsia="zh-CN"/>
              </w:rPr>
              <w:t>（70分）</w:t>
            </w:r>
          </w:p>
        </w:tc>
        <w:tc>
          <w:tcPr>
            <w:tcW w:w="2910" w:type="dxa"/>
            <w:vAlign w:val="center"/>
          </w:tcPr>
          <w:p w14:paraId="01F1B0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贷款方式</w:t>
            </w:r>
          </w:p>
          <w:p w14:paraId="22D3CC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（20分）</w:t>
            </w:r>
          </w:p>
        </w:tc>
        <w:tc>
          <w:tcPr>
            <w:tcW w:w="2895" w:type="dxa"/>
            <w:vAlign w:val="center"/>
          </w:tcPr>
          <w:p w14:paraId="01C2AA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贷款审批时间</w:t>
            </w:r>
          </w:p>
          <w:p w14:paraId="7847B2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（10分）</w:t>
            </w:r>
          </w:p>
        </w:tc>
      </w:tr>
      <w:tr w14:paraId="2FC4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3447" w:type="dxa"/>
            <w:vAlign w:val="center"/>
          </w:tcPr>
          <w:p w14:paraId="6251B1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评分方法：以利率最低的报价为基准评审利率，得满分，每高于基准评审利率0.01%扣2分，扣至0分为止</w:t>
            </w:r>
          </w:p>
        </w:tc>
        <w:tc>
          <w:tcPr>
            <w:tcW w:w="2910" w:type="dxa"/>
            <w:vAlign w:val="center"/>
          </w:tcPr>
          <w:p w14:paraId="7A1405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评分方法：纯信用贷款得满分，需股东提供担保的扣5分，其他担保方式扣10分，如提供多种担保方式的，以得分最低的一种计算</w:t>
            </w:r>
          </w:p>
        </w:tc>
        <w:tc>
          <w:tcPr>
            <w:tcW w:w="2895" w:type="dxa"/>
            <w:shd w:val="clear" w:color="auto" w:fill="auto"/>
            <w:vAlign w:val="center"/>
          </w:tcPr>
          <w:p w14:paraId="434D4A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评分方法：以贷款审批时间最短的报价为基准评审时间，得满分，每增加1天，扣0.1分，扣至0分为止</w:t>
            </w:r>
          </w:p>
        </w:tc>
      </w:tr>
    </w:tbl>
    <w:p w14:paraId="4F3AEDB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若出现得分相同的情况，将按以下顺序推荐，并最终批复条件确定合作银行：</w:t>
      </w:r>
    </w:p>
    <w:p w14:paraId="6745BA6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w:t>
      </w:r>
      <w:r>
        <w:rPr>
          <w:rFonts w:hint="eastAsia" w:ascii="仿宋_GB2312" w:hAnsi="仿宋_GB2312" w:eastAsia="仿宋_GB2312" w:cs="仿宋_GB2312"/>
          <w:b w:val="0"/>
          <w:bCs w:val="0"/>
          <w:color w:val="auto"/>
          <w:kern w:val="0"/>
          <w:sz w:val="32"/>
          <w:szCs w:val="32"/>
          <w:highlight w:val="none"/>
          <w:lang w:eastAsia="zh-CN" w:bidi="ar"/>
        </w:rPr>
        <w:t>推荐融资利率报价最低的前三名为中标候选人，通过定标程序推荐第一名为中标单位。</w:t>
      </w:r>
    </w:p>
    <w:p w14:paraId="766E0547">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default" w:ascii="仿宋_GB2312" w:hAnsi="仿宋_GB2312" w:eastAsia="仿宋_GB2312" w:cs="仿宋_GB2312"/>
          <w:b w:val="0"/>
          <w:bCs w:val="0"/>
          <w:color w:val="auto"/>
          <w:kern w:val="0"/>
          <w:sz w:val="32"/>
          <w:szCs w:val="32"/>
          <w:highlight w:val="none"/>
          <w:lang w:val="en-US" w:eastAsia="zh-CN" w:bidi="ar"/>
        </w:rPr>
        <w:t>2.</w:t>
      </w:r>
      <w:r>
        <w:rPr>
          <w:rFonts w:hint="eastAsia" w:ascii="仿宋_GB2312" w:hAnsi="仿宋_GB2312" w:eastAsia="仿宋_GB2312" w:cs="仿宋_GB2312"/>
          <w:b w:val="0"/>
          <w:bCs w:val="0"/>
          <w:color w:val="auto"/>
          <w:kern w:val="0"/>
          <w:sz w:val="32"/>
          <w:szCs w:val="32"/>
          <w:highlight w:val="none"/>
          <w:lang w:eastAsia="zh-CN" w:bidi="ar"/>
        </w:rPr>
        <w:t>若出现融资利率报价并列最低的情形，公司将按照贷款方式排序，依次以纯信用贷款、股东担保贷款、其他担保方式贷款的顺序确定拟中标单位</w:t>
      </w:r>
      <w:r>
        <w:rPr>
          <w:rFonts w:hint="eastAsia" w:ascii="仿宋_GB2312" w:hAnsi="仿宋_GB2312" w:eastAsia="仿宋_GB2312" w:cs="仿宋_GB2312"/>
          <w:b w:val="0"/>
          <w:bCs w:val="0"/>
          <w:color w:val="auto"/>
          <w:kern w:val="0"/>
          <w:sz w:val="32"/>
          <w:szCs w:val="32"/>
          <w:highlight w:val="none"/>
          <w:lang w:val="en-US" w:eastAsia="zh-CN" w:bidi="ar"/>
        </w:rPr>
        <w:t>。</w:t>
      </w:r>
    </w:p>
    <w:p w14:paraId="5E8784F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3</w:t>
      </w:r>
      <w:r>
        <w:rPr>
          <w:rFonts w:hint="default"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若以上情形均无法选定唯一中标人，公司可将满足相同最优条件的候选人确定为并列中标人，并按照均分原则分配贷款额度。如有候选人不同意均分安排，视为自动放弃中标资格，公司可在同档候选人中推荐同意均分的单位为中标人。</w:t>
      </w:r>
    </w:p>
    <w:p w14:paraId="589BA92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val="0"/>
          <w:bCs w:val="0"/>
          <w:color w:val="auto"/>
          <w:kern w:val="0"/>
          <w:sz w:val="32"/>
          <w:szCs w:val="32"/>
          <w:highlight w:val="none"/>
          <w:lang w:val="en-US" w:eastAsia="zh-CN" w:bidi="ar"/>
        </w:rPr>
        <w:t>4.自公司完成提供贷款审批资料之日起计，未在审批时效到期日取得正式批复的，则视为自动放弃中标资格，依序顺延至下一位候选人确定为中标单位。</w:t>
      </w:r>
    </w:p>
    <w:p w14:paraId="4AB4B463">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b/>
          <w:sz w:val="30"/>
          <w:szCs w:val="30"/>
          <w:highlight w:val="none"/>
          <w:lang w:val="en-US" w:eastAsia="zh-CN"/>
        </w:rPr>
        <w:t>七</w:t>
      </w:r>
      <w:r>
        <w:rPr>
          <w:rFonts w:hint="eastAsia" w:ascii="仿宋_GB2312" w:hAnsi="仿宋_GB2312" w:eastAsia="仿宋_GB2312" w:cs="仿宋_GB2312"/>
          <w:b/>
          <w:sz w:val="30"/>
          <w:szCs w:val="30"/>
          <w:highlight w:val="none"/>
        </w:rPr>
        <w:t>、</w:t>
      </w:r>
      <w:r>
        <w:rPr>
          <w:rFonts w:hint="eastAsia" w:ascii="仿宋_GB2312" w:hAnsi="仿宋_GB2312" w:eastAsia="仿宋_GB2312" w:cs="仿宋_GB2312"/>
          <w:b/>
          <w:sz w:val="30"/>
          <w:szCs w:val="30"/>
          <w:highlight w:val="none"/>
          <w:lang w:val="en-US" w:eastAsia="zh-CN"/>
        </w:rPr>
        <w:t>违约责任</w:t>
      </w:r>
    </w:p>
    <w:p w14:paraId="1DD9493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如中标人在实际审批或放款过程中，审批时限超出其报价文件所载明的承诺，公司有权将其排除在后续融资询价邀请范围之外。</w:t>
      </w:r>
    </w:p>
    <w:p w14:paraId="1AC99AA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rPr>
      </w:pPr>
      <w:r>
        <w:rPr>
          <w:rFonts w:hint="default" w:ascii="仿宋_GB2312" w:hAnsi="仿宋_GB2312" w:eastAsia="仿宋_GB2312" w:cs="仿宋_GB2312"/>
          <w:sz w:val="32"/>
          <w:szCs w:val="32"/>
          <w:highlight w:val="none"/>
          <w:lang w:val="en-US" w:eastAsia="zh-CN"/>
        </w:rPr>
        <w:t>如中标人在实际审批或放款过程中</w:t>
      </w:r>
      <w:r>
        <w:rPr>
          <w:rFonts w:hint="eastAsia" w:ascii="仿宋_GB2312" w:hAnsi="仿宋_GB2312" w:eastAsia="仿宋_GB2312" w:cs="仿宋_GB2312"/>
          <w:sz w:val="32"/>
          <w:szCs w:val="32"/>
          <w:highlight w:val="none"/>
          <w:lang w:val="en-US" w:eastAsia="zh-CN"/>
        </w:rPr>
        <w:t>，除审批时限外，其他贷款条件与其报价文件所载明的承诺不符（包括但不限于贷款方式、担保要求、利率水平等情形），公司有权取消其中标资格，并依序顺延至下一位中标候选人确定为中标单位。由此造成的损失或延误，由原中标人自行承担，公司有权将其排除在后续融资邀请范围之外。</w:t>
      </w:r>
    </w:p>
    <w:p w14:paraId="73ED3A9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八</w:t>
      </w:r>
      <w:r>
        <w:rPr>
          <w:rFonts w:hint="eastAsia" w:ascii="仿宋_GB2312" w:hAnsi="仿宋_GB2312" w:eastAsia="仿宋_GB2312" w:cs="仿宋_GB2312"/>
          <w:b/>
          <w:sz w:val="32"/>
          <w:szCs w:val="32"/>
          <w:highlight w:val="none"/>
        </w:rPr>
        <w:t>、其他事项</w:t>
      </w:r>
    </w:p>
    <w:p w14:paraId="4098EF4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kern w:val="0"/>
          <w:sz w:val="32"/>
          <w:szCs w:val="32"/>
          <w:highlight w:val="none"/>
          <w:lang w:bidi="ar"/>
        </w:rPr>
        <w:t>基于互信原则，本次融资涉及的商业信息属保密信息，请各参选单位妥善保密。</w:t>
      </w:r>
    </w:p>
    <w:p w14:paraId="50F9047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bidi="ar"/>
        </w:rPr>
        <w:t>公司</w:t>
      </w:r>
      <w:r>
        <w:rPr>
          <w:rFonts w:hint="eastAsia" w:ascii="仿宋_GB2312" w:hAnsi="仿宋_GB2312" w:eastAsia="仿宋_GB2312" w:cs="仿宋_GB2312"/>
          <w:sz w:val="32"/>
          <w:szCs w:val="32"/>
          <w:highlight w:val="none"/>
          <w:lang w:bidi="ar"/>
        </w:rPr>
        <w:t>不承担参选银行包括准备和递交投标文件在内的任何成本或费用。</w:t>
      </w:r>
    </w:p>
    <w:p w14:paraId="6098877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九</w:t>
      </w:r>
      <w:r>
        <w:rPr>
          <w:rFonts w:hint="eastAsia" w:ascii="仿宋_GB2312" w:hAnsi="仿宋_GB2312" w:eastAsia="仿宋_GB2312" w:cs="仿宋_GB2312"/>
          <w:b/>
          <w:sz w:val="32"/>
          <w:szCs w:val="32"/>
          <w:highlight w:val="none"/>
        </w:rPr>
        <w:t>、联系方式</w:t>
      </w:r>
    </w:p>
    <w:p w14:paraId="11003BE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人：成都绕城高速公路（西段）有限责任公司</w:t>
      </w:r>
    </w:p>
    <w:p w14:paraId="784990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地址：四川省成都市</w:t>
      </w:r>
      <w:r>
        <w:rPr>
          <w:rFonts w:hint="eastAsia" w:ascii="仿宋_GB2312" w:hAnsi="仿宋_GB2312" w:eastAsia="仿宋_GB2312" w:cs="仿宋_GB2312"/>
          <w:sz w:val="32"/>
          <w:szCs w:val="32"/>
          <w:highlight w:val="none"/>
          <w:lang w:val="en-US" w:eastAsia="zh-CN"/>
        </w:rPr>
        <w:t>武侯</w:t>
      </w:r>
      <w:r>
        <w:rPr>
          <w:rFonts w:hint="eastAsia" w:ascii="仿宋_GB2312" w:hAnsi="仿宋_GB2312" w:eastAsia="仿宋_GB2312" w:cs="仿宋_GB2312"/>
          <w:sz w:val="32"/>
          <w:szCs w:val="32"/>
          <w:highlight w:val="none"/>
          <w:lang w:eastAsia="zh-CN"/>
        </w:rPr>
        <w:t>区剑南大道中段</w:t>
      </w:r>
      <w:r>
        <w:rPr>
          <w:rFonts w:hint="eastAsia" w:ascii="仿宋_GB2312" w:hAnsi="仿宋_GB2312" w:eastAsia="仿宋_GB2312" w:cs="仿宋_GB2312"/>
          <w:sz w:val="32"/>
          <w:szCs w:val="32"/>
          <w:highlight w:val="none"/>
          <w:lang w:val="en-US" w:eastAsia="zh-CN"/>
        </w:rPr>
        <w:t>3号</w:t>
      </w:r>
    </w:p>
    <w:p w14:paraId="2E11CF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联系人：财务管理部</w:t>
      </w:r>
      <w:r>
        <w:rPr>
          <w:rFonts w:hint="eastAsia" w:ascii="仿宋_GB2312" w:hAnsi="仿宋_GB2312" w:eastAsia="仿宋_GB2312" w:cs="仿宋_GB2312"/>
          <w:sz w:val="32"/>
          <w:szCs w:val="32"/>
          <w:highlight w:val="none"/>
          <w:lang w:val="en-US" w:eastAsia="zh-CN"/>
        </w:rPr>
        <w:t xml:space="preserve"> 居然</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028-6522 0051</w:t>
      </w:r>
    </w:p>
    <w:p w14:paraId="03B87D30">
      <w:pPr>
        <w:keepNext w:val="0"/>
        <w:keepLines w:val="0"/>
        <w:pageBreakBefore w:val="0"/>
        <w:widowControl/>
        <w:kinsoku/>
        <w:wordWrap/>
        <w:overflowPunct/>
        <w:topLinePunct w:val="0"/>
        <w:autoSpaceDE/>
        <w:autoSpaceDN/>
        <w:bidi w:val="0"/>
        <w:adjustRightInd w:val="0"/>
        <w:snapToGrid w:val="0"/>
        <w:spacing w:line="560" w:lineRule="exact"/>
        <w:ind w:firstLine="630"/>
        <w:jc w:val="left"/>
        <w:textAlignment w:val="auto"/>
        <w:rPr>
          <w:rFonts w:hint="eastAsia" w:ascii="仿宋_GB2312" w:hAnsi="仿宋_GB2312" w:eastAsia="仿宋_GB2312" w:cs="仿宋_GB2312"/>
          <w:sz w:val="32"/>
          <w:szCs w:val="32"/>
          <w:highlight w:val="none"/>
        </w:rPr>
      </w:pPr>
    </w:p>
    <w:p w14:paraId="770C1BB8">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kern w:val="0"/>
          <w:sz w:val="32"/>
          <w:szCs w:val="32"/>
          <w:highlight w:val="none"/>
          <w:lang w:bidi="ar"/>
        </w:rPr>
      </w:pPr>
      <w:r>
        <w:rPr>
          <w:rFonts w:hint="eastAsia" w:ascii="仿宋_GB2312" w:hAnsi="仿宋_GB2312" w:eastAsia="仿宋_GB2312" w:cs="仿宋_GB2312"/>
          <w:sz w:val="32"/>
          <w:szCs w:val="32"/>
          <w:highlight w:val="none"/>
        </w:rPr>
        <w:t xml:space="preserve">附件： </w:t>
      </w:r>
      <w:r>
        <w:rPr>
          <w:rFonts w:hint="eastAsia" w:ascii="仿宋_GB2312" w:hAnsi="仿宋_GB2312" w:eastAsia="仿宋_GB2312" w:cs="仿宋_GB2312"/>
          <w:b w:val="0"/>
          <w:bCs w:val="0"/>
          <w:kern w:val="0"/>
          <w:sz w:val="32"/>
          <w:szCs w:val="32"/>
          <w:highlight w:val="none"/>
          <w:lang w:eastAsia="zh-CN" w:bidi="ar"/>
        </w:rPr>
        <w:t>成都绕城高速公路（西段）有限责任公司</w:t>
      </w:r>
      <w:r>
        <w:rPr>
          <w:rFonts w:hint="eastAsia" w:ascii="仿宋_GB2312" w:hAnsi="仿宋_GB2312" w:eastAsia="仿宋_GB2312" w:cs="仿宋_GB2312"/>
          <w:b w:val="0"/>
          <w:bCs w:val="0"/>
          <w:kern w:val="0"/>
          <w:sz w:val="32"/>
          <w:szCs w:val="32"/>
          <w:highlight w:val="none"/>
          <w:lang w:bidi="ar"/>
        </w:rPr>
        <w:t>贷款报价单</w:t>
      </w:r>
    </w:p>
    <w:p w14:paraId="137B9E7F">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kern w:val="0"/>
          <w:sz w:val="32"/>
          <w:szCs w:val="32"/>
          <w:highlight w:val="none"/>
          <w:lang w:bidi="ar"/>
        </w:rPr>
      </w:pPr>
    </w:p>
    <w:p w14:paraId="4FC1977B">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kern w:val="0"/>
          <w:sz w:val="32"/>
          <w:szCs w:val="32"/>
          <w:highlight w:val="none"/>
          <w:lang w:bidi="ar"/>
        </w:rPr>
        <w:t xml:space="preserve"> </w:t>
      </w:r>
      <w:r>
        <w:rPr>
          <w:rFonts w:hint="eastAsia" w:ascii="仿宋_GB2312" w:hAnsi="仿宋_GB2312" w:eastAsia="仿宋_GB2312" w:cs="仿宋_GB2312"/>
          <w:sz w:val="32"/>
          <w:szCs w:val="32"/>
          <w:highlight w:val="none"/>
        </w:rPr>
        <w:t>成都绕城高速公路（西段）有限责任公司</w:t>
      </w:r>
    </w:p>
    <w:p w14:paraId="4AE4CD1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highlight w:val="none"/>
          <w:lang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bookmarkStart w:id="0" w:name="_GoBack"/>
      <w:bookmarkEnd w:id="0"/>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p>
    <w:sectPr>
      <w:footerReference r:id="rId3" w:type="default"/>
      <w:pgSz w:w="11906" w:h="16838"/>
      <w:pgMar w:top="1984" w:right="1474" w:bottom="187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E4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4AD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B4AD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47803"/>
    <w:multiLevelType w:val="singleLevel"/>
    <w:tmpl w:val="0EB478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Tc0NGMzYWRiYzhkMDg4OWU0NWM5YjFiOWUxYzQifQ=="/>
  </w:docVars>
  <w:rsids>
    <w:rsidRoot w:val="4FE55100"/>
    <w:rsid w:val="04005709"/>
    <w:rsid w:val="04317071"/>
    <w:rsid w:val="04F31AF5"/>
    <w:rsid w:val="06365BBA"/>
    <w:rsid w:val="068A23FC"/>
    <w:rsid w:val="07EB0E8D"/>
    <w:rsid w:val="0E71409B"/>
    <w:rsid w:val="0EC56EF1"/>
    <w:rsid w:val="0F1529D0"/>
    <w:rsid w:val="111411BF"/>
    <w:rsid w:val="11505296"/>
    <w:rsid w:val="12434F9C"/>
    <w:rsid w:val="135378DC"/>
    <w:rsid w:val="163E6B56"/>
    <w:rsid w:val="17524E21"/>
    <w:rsid w:val="177A0DB0"/>
    <w:rsid w:val="17FE2BAF"/>
    <w:rsid w:val="181F45B2"/>
    <w:rsid w:val="185F28C1"/>
    <w:rsid w:val="1A147250"/>
    <w:rsid w:val="1A2C77DE"/>
    <w:rsid w:val="1ABF1284"/>
    <w:rsid w:val="22D9123B"/>
    <w:rsid w:val="26FB154C"/>
    <w:rsid w:val="270B5B8B"/>
    <w:rsid w:val="28907E12"/>
    <w:rsid w:val="2A39356E"/>
    <w:rsid w:val="2BD76401"/>
    <w:rsid w:val="2E1C4436"/>
    <w:rsid w:val="2ECE5E9F"/>
    <w:rsid w:val="2ECF5743"/>
    <w:rsid w:val="2ED42815"/>
    <w:rsid w:val="2FB27B50"/>
    <w:rsid w:val="30C61055"/>
    <w:rsid w:val="33AD27CD"/>
    <w:rsid w:val="3406387F"/>
    <w:rsid w:val="347A35FF"/>
    <w:rsid w:val="395F1037"/>
    <w:rsid w:val="3A130B53"/>
    <w:rsid w:val="3BC700E2"/>
    <w:rsid w:val="3CB7628C"/>
    <w:rsid w:val="3DCC5572"/>
    <w:rsid w:val="3EB56DDC"/>
    <w:rsid w:val="3F722E41"/>
    <w:rsid w:val="3F8956C9"/>
    <w:rsid w:val="401C5BED"/>
    <w:rsid w:val="41372CFB"/>
    <w:rsid w:val="41FB346C"/>
    <w:rsid w:val="43090D66"/>
    <w:rsid w:val="43D55E57"/>
    <w:rsid w:val="458F5E70"/>
    <w:rsid w:val="46F414EA"/>
    <w:rsid w:val="4863460A"/>
    <w:rsid w:val="48AC4830"/>
    <w:rsid w:val="49F5329B"/>
    <w:rsid w:val="4CDB3DAD"/>
    <w:rsid w:val="4D423F6E"/>
    <w:rsid w:val="4FE55100"/>
    <w:rsid w:val="50404CFA"/>
    <w:rsid w:val="507C64AB"/>
    <w:rsid w:val="51E83AAA"/>
    <w:rsid w:val="523551E3"/>
    <w:rsid w:val="53D817C7"/>
    <w:rsid w:val="542B21C7"/>
    <w:rsid w:val="55D94911"/>
    <w:rsid w:val="56825BFE"/>
    <w:rsid w:val="57DD2635"/>
    <w:rsid w:val="57E80110"/>
    <w:rsid w:val="58C96CF4"/>
    <w:rsid w:val="5AC33C04"/>
    <w:rsid w:val="5AEC69F3"/>
    <w:rsid w:val="5EE017FC"/>
    <w:rsid w:val="5FAE5A31"/>
    <w:rsid w:val="639624DA"/>
    <w:rsid w:val="63AC1DAA"/>
    <w:rsid w:val="679536E2"/>
    <w:rsid w:val="699F6482"/>
    <w:rsid w:val="6A6D79A0"/>
    <w:rsid w:val="6D06479D"/>
    <w:rsid w:val="6E7022BA"/>
    <w:rsid w:val="70E00F21"/>
    <w:rsid w:val="71646DEC"/>
    <w:rsid w:val="71E12360"/>
    <w:rsid w:val="71EE54F0"/>
    <w:rsid w:val="723956B5"/>
    <w:rsid w:val="731D7D5E"/>
    <w:rsid w:val="75075FBA"/>
    <w:rsid w:val="761E4B6E"/>
    <w:rsid w:val="769075FC"/>
    <w:rsid w:val="76DD3992"/>
    <w:rsid w:val="7AF00F91"/>
    <w:rsid w:val="7B2B41E0"/>
    <w:rsid w:val="7BEB1AB4"/>
    <w:rsid w:val="7CAD4B71"/>
    <w:rsid w:val="7D814BD9"/>
    <w:rsid w:val="7E72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paragraph" w:customStyle="1" w:styleId="10">
    <w:name w:val="Heading #1|1"/>
    <w:basedOn w:val="1"/>
    <w:qFormat/>
    <w:uiPriority w:val="0"/>
    <w:pPr>
      <w:spacing w:after="680"/>
      <w:jc w:val="center"/>
      <w:outlineLvl w:val="0"/>
    </w:pPr>
    <w:rPr>
      <w:rFonts w:ascii="宋体" w:hAnsi="宋体" w:eastAsia="宋体" w:cs="宋体"/>
      <w:color w:val="232323"/>
      <w:sz w:val="44"/>
      <w:szCs w:val="44"/>
      <w:lang w:val="zh-TW" w:eastAsia="zh-TW" w:bidi="zh-TW"/>
    </w:rPr>
  </w:style>
  <w:style w:type="paragraph" w:customStyle="1" w:styleId="11">
    <w:name w:val="Body text|1"/>
    <w:basedOn w:val="1"/>
    <w:qFormat/>
    <w:uiPriority w:val="0"/>
    <w:pPr>
      <w:spacing w:line="434" w:lineRule="auto"/>
      <w:ind w:firstLine="400"/>
    </w:pPr>
    <w:rPr>
      <w:rFonts w:ascii="宋体" w:hAnsi="宋体" w:eastAsia="宋体" w:cs="宋体"/>
      <w:color w:val="232323"/>
      <w:sz w:val="30"/>
      <w:szCs w:val="30"/>
      <w:lang w:val="zh-TW" w:eastAsia="zh-TW" w:bidi="zh-TW"/>
    </w:rPr>
  </w:style>
  <w:style w:type="paragraph" w:customStyle="1" w:styleId="12">
    <w:name w:val="Body text|2"/>
    <w:basedOn w:val="1"/>
    <w:qFormat/>
    <w:uiPriority w:val="0"/>
    <w:pPr>
      <w:spacing w:after="40" w:line="629" w:lineRule="exact"/>
      <w:ind w:firstLine="660"/>
    </w:pPr>
    <w:rPr>
      <w:sz w:val="30"/>
      <w:szCs w:val="30"/>
      <w:lang w:val="zh-TW" w:eastAsia="zh-TW" w:bidi="zh-TW"/>
    </w:rPr>
  </w:style>
  <w:style w:type="paragraph" w:customStyle="1" w:styleId="13">
    <w:name w:val="Header or footer|1"/>
    <w:basedOn w:val="1"/>
    <w:qFormat/>
    <w:uiPriority w:val="0"/>
    <w:rPr>
      <w:sz w:val="19"/>
      <w:szCs w:val="19"/>
      <w:lang w:val="zh-TW" w:eastAsia="zh-TW" w:bidi="zh-TW"/>
    </w:rPr>
  </w:style>
  <w:style w:type="paragraph" w:customStyle="1" w:styleId="14">
    <w:name w:val="Almq表内左对齐"/>
    <w:basedOn w:val="1"/>
    <w:qFormat/>
    <w:uiPriority w:val="0"/>
    <w:pPr>
      <w:wordWrap w:val="0"/>
      <w:spacing w:line="440" w:lineRule="exact"/>
      <w:ind w:firstLine="0" w:firstLineChars="0"/>
    </w:pPr>
    <w:rPr>
      <w:rFonts w:hint="eastAsia"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2248</Words>
  <Characters>2357</Characters>
  <Lines>0</Lines>
  <Paragraphs>0</Paragraphs>
  <TotalTime>24</TotalTime>
  <ScaleCrop>false</ScaleCrop>
  <LinksUpToDate>false</LinksUpToDate>
  <CharactersWithSpaces>2393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2023-05-18T06:50:00Z</dcterms:created>
  <dc:creator>Dell</dc:creator>
  <cp:lastModifiedBy>Dell</cp:lastModifiedBy>
  <cp:lastPrinted>2025-11-05T01:25:00Z</cp:lastPrinted>
  <dcterms:modified xsi:type="dcterms:W3CDTF">2025-12-09T02:51:21Z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4A7DD214A2DD471CBA7C18DE0CF312C6_13</vt:lpwstr>
  </property>
  <property fmtid="{D5CDD505-2E9C-101B-9397-08002B2CF9AE}" pid="4" name="KSOTemplateDocerSaveRecord">
    <vt:lpwstr>eyJoZGlkIjoiNjdkYmZlNWM0NTEzMTkzMGUxOGVmNDk3ZGQ0N2U4ZmUiLCJ1c2VySWQiOiIxNTgzMTA1Nzk2In0=</vt:lpwstr>
  </property>
</Properties>
</file>